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589A8CF8"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bookmarkStart w:id="8" w:name="_GoBack"/>
      <w:bookmarkEnd w:id="8"/>
      <w:r>
        <w:rPr>
          <w:rFonts w:ascii="Arial" w:hAnsi="Arial" w:cs="Arial"/>
          <w:b/>
          <w:bCs/>
          <w:sz w:val="24"/>
        </w:rPr>
        <w:t>SA WG2 Meeting #</w:t>
      </w:r>
      <w:r w:rsidR="00E073F1">
        <w:rPr>
          <w:rFonts w:ascii="Arial" w:hAnsi="Arial" w:cs="Arial"/>
          <w:b/>
          <w:bCs/>
          <w:sz w:val="24"/>
        </w:rPr>
        <w:t>14</w:t>
      </w:r>
      <w:r w:rsidR="00F4560D">
        <w:rPr>
          <w:rFonts w:ascii="Arial" w:hAnsi="Arial" w:cs="Arial"/>
          <w:b/>
          <w:bCs/>
          <w:sz w:val="24"/>
        </w:rPr>
        <w:t>4</w:t>
      </w:r>
      <w:r w:rsidR="00E073F1">
        <w:rPr>
          <w:rFonts w:ascii="Arial" w:hAnsi="Arial" w:cs="Arial"/>
          <w:b/>
          <w:bCs/>
          <w:sz w:val="24"/>
        </w:rPr>
        <w:t xml:space="preserve">E </w:t>
      </w:r>
      <w:r>
        <w:rPr>
          <w:rFonts w:ascii="Arial" w:hAnsi="Arial" w:cs="Arial"/>
          <w:b/>
          <w:bCs/>
          <w:sz w:val="24"/>
        </w:rPr>
        <w:t>(e-meeting)</w:t>
      </w:r>
      <w:r>
        <w:rPr>
          <w:rFonts w:ascii="Arial" w:hAnsi="Arial" w:cs="Arial"/>
          <w:b/>
          <w:bCs/>
          <w:sz w:val="24"/>
        </w:rPr>
        <w:tab/>
      </w:r>
      <w:r w:rsidRPr="000D42CB">
        <w:rPr>
          <w:rFonts w:ascii="Arial" w:hAnsi="Arial" w:cs="Arial"/>
          <w:b/>
          <w:noProof/>
          <w:sz w:val="24"/>
        </w:rPr>
        <w:t>S2-2</w:t>
      </w:r>
      <w:r w:rsidR="00ED5A8C" w:rsidRPr="000D42CB">
        <w:rPr>
          <w:rFonts w:ascii="Arial" w:hAnsi="Arial" w:cs="Arial"/>
          <w:b/>
          <w:noProof/>
          <w:sz w:val="24"/>
        </w:rPr>
        <w:t>1</w:t>
      </w:r>
      <w:r w:rsidRPr="000D42CB">
        <w:rPr>
          <w:rFonts w:ascii="Arial" w:hAnsi="Arial" w:cs="Arial"/>
          <w:b/>
          <w:noProof/>
          <w:sz w:val="24"/>
        </w:rPr>
        <w:t>0</w:t>
      </w:r>
      <w:r w:rsidR="00AC2EC8">
        <w:rPr>
          <w:rFonts w:ascii="Arial" w:hAnsi="Arial" w:cs="Arial"/>
          <w:b/>
          <w:noProof/>
          <w:sz w:val="24"/>
        </w:rPr>
        <w:t>2249</w:t>
      </w:r>
    </w:p>
    <w:p w14:paraId="63C5E05B" w14:textId="70619510" w:rsidR="00AD728B" w:rsidRDefault="00F4560D" w:rsidP="00AD728B">
      <w:pPr>
        <w:pStyle w:val="CRCoverPage"/>
        <w:outlineLvl w:val="0"/>
        <w:rPr>
          <w:b/>
          <w:noProof/>
          <w:sz w:val="24"/>
        </w:rPr>
      </w:pPr>
      <w:r>
        <w:rPr>
          <w:rFonts w:cs="Arial"/>
          <w:b/>
          <w:bCs/>
          <w:sz w:val="24"/>
        </w:rPr>
        <w:t xml:space="preserve">Apr </w:t>
      </w:r>
      <w:r w:rsidR="009C69CC">
        <w:rPr>
          <w:rFonts w:cs="Arial"/>
          <w:b/>
          <w:bCs/>
          <w:sz w:val="24"/>
        </w:rPr>
        <w:t>12</w:t>
      </w:r>
      <w:r w:rsidR="00E073F1" w:rsidRPr="00FE7292">
        <w:rPr>
          <w:rFonts w:cs="Arial"/>
          <w:b/>
          <w:bCs/>
          <w:sz w:val="24"/>
        </w:rPr>
        <w:t xml:space="preserve"> </w:t>
      </w:r>
      <w:r w:rsidR="00FE7292" w:rsidRPr="00FE7292">
        <w:rPr>
          <w:rFonts w:cs="Arial"/>
          <w:b/>
          <w:bCs/>
          <w:sz w:val="24"/>
        </w:rPr>
        <w:t xml:space="preserve">– </w:t>
      </w:r>
      <w:r w:rsidR="009C69CC">
        <w:rPr>
          <w:rFonts w:cs="Arial"/>
          <w:b/>
          <w:bCs/>
          <w:sz w:val="24"/>
        </w:rPr>
        <w:t>16</w:t>
      </w:r>
      <w:r w:rsidR="00FE7292" w:rsidRPr="00FE7292">
        <w:rPr>
          <w:rFonts w:cs="Arial"/>
          <w:b/>
          <w:bCs/>
          <w:sz w:val="24"/>
        </w:rPr>
        <w:t>, 202</w:t>
      </w:r>
      <w:r w:rsidR="009C69CC">
        <w:rPr>
          <w:rFonts w:cs="Arial"/>
          <w:b/>
          <w:bCs/>
          <w:sz w:val="24"/>
        </w:rPr>
        <w:t>1</w:t>
      </w:r>
      <w:r w:rsidR="00FE7292" w:rsidRPr="00FE7292">
        <w:rPr>
          <w:rFonts w:cs="Arial"/>
          <w:b/>
          <w:bCs/>
          <w:sz w:val="24"/>
        </w:rPr>
        <w:t>,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30EFD169"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9623F0">
        <w:rPr>
          <w:rFonts w:ascii="Arial" w:hAnsi="Arial" w:cs="Arial"/>
          <w:b/>
        </w:rPr>
        <w:t>Support</w:t>
      </w:r>
      <w:r w:rsidR="002034FD">
        <w:rPr>
          <w:rFonts w:ascii="Arial" w:hAnsi="Arial" w:cs="Arial"/>
          <w:b/>
        </w:rPr>
        <w:t xml:space="preserve"> of</w:t>
      </w:r>
      <w:r w:rsidR="009623F0">
        <w:rPr>
          <w:rFonts w:ascii="Arial" w:hAnsi="Arial" w:cs="Arial"/>
          <w:b/>
        </w:rPr>
        <w:t xml:space="preserve"> </w:t>
      </w:r>
      <w:r w:rsidR="002C5C73">
        <w:rPr>
          <w:rFonts w:ascii="Arial" w:hAnsi="Arial" w:cs="Arial"/>
          <w:b/>
        </w:rPr>
        <w:t>IETF BRSKI</w:t>
      </w:r>
      <w:r w:rsidR="009623F0">
        <w:rPr>
          <w:rFonts w:ascii="Arial" w:hAnsi="Arial" w:cs="Arial"/>
          <w:b/>
        </w:rPr>
        <w:t xml:space="preserve"> protocol</w:t>
      </w:r>
      <w:r w:rsidR="002C5C73">
        <w:rPr>
          <w:rFonts w:ascii="Arial" w:hAnsi="Arial" w:cs="Arial"/>
          <w:b/>
        </w:rPr>
        <w:t xml:space="preserve"> for User Plane </w:t>
      </w:r>
      <w:r w:rsidR="00EE1CA6">
        <w:rPr>
          <w:rFonts w:ascii="Arial" w:hAnsi="Arial" w:cs="Arial"/>
          <w:b/>
        </w:rPr>
        <w:t>Remote</w:t>
      </w:r>
      <w:r w:rsidR="002C5C73">
        <w:rPr>
          <w:rFonts w:ascii="Arial" w:hAnsi="Arial" w:cs="Arial"/>
          <w:b/>
        </w:rPr>
        <w:t xml:space="preserve"> Provisioning</w:t>
      </w:r>
      <w:r w:rsidR="00BE43F1">
        <w:rPr>
          <w:rFonts w:ascii="Arial" w:hAnsi="Arial" w:cs="Arial"/>
          <w:b/>
        </w:rPr>
        <w:t xml:space="preserve"> </w:t>
      </w:r>
    </w:p>
    <w:p w14:paraId="2C5F150B" w14:textId="4E8F21A3"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F4560D">
        <w:rPr>
          <w:rFonts w:ascii="Arial" w:hAnsi="Arial" w:cs="Arial"/>
          <w:b/>
        </w:rPr>
        <w:t>Discussion</w:t>
      </w:r>
      <w:r>
        <w:rPr>
          <w:rFonts w:ascii="Arial" w:hAnsi="Arial" w:cs="Arial"/>
          <w:b/>
        </w:rPr>
        <w:tab/>
      </w:r>
    </w:p>
    <w:p w14:paraId="56B70EB4" w14:textId="56D35612"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ED5A8C">
        <w:rPr>
          <w:rFonts w:ascii="Arial" w:hAnsi="Arial" w:cs="Arial"/>
          <w:b/>
        </w:rPr>
        <w:t>2</w:t>
      </w:r>
      <w:r>
        <w:rPr>
          <w:rFonts w:ascii="Arial" w:hAnsi="Arial" w:cs="Arial"/>
          <w:b/>
        </w:rPr>
        <w:tab/>
      </w:r>
    </w:p>
    <w:p w14:paraId="47BBE2B6" w14:textId="6F1D2DDF"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eNPN</w:t>
      </w:r>
      <w:r w:rsidRPr="00F63666">
        <w:rPr>
          <w:rFonts w:ascii="Arial" w:hAnsi="Arial" w:cs="Arial"/>
          <w:sz w:val="16"/>
          <w:szCs w:val="16"/>
        </w:rPr>
        <w:t xml:space="preserve"> </w:t>
      </w:r>
      <w:r>
        <w:rPr>
          <w:rFonts w:ascii="Arial" w:hAnsi="Arial" w:cs="Arial"/>
          <w:b/>
        </w:rPr>
        <w:t>/ Rel-17</w:t>
      </w:r>
    </w:p>
    <w:p w14:paraId="0DF5395C" w14:textId="1E04F840"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w:t>
      </w:r>
      <w:r w:rsidR="00F4560D">
        <w:rPr>
          <w:rFonts w:ascii="Arial" w:hAnsi="Arial" w:cs="Arial"/>
          <w:i/>
        </w:rPr>
        <w:t>discussion paper</w:t>
      </w:r>
      <w:r w:rsidR="00C71A1C">
        <w:rPr>
          <w:rFonts w:ascii="Arial" w:hAnsi="Arial" w:cs="Arial"/>
          <w:i/>
        </w:rPr>
        <w:t xml:space="preserve"> </w:t>
      </w:r>
      <w:r w:rsidR="002C5C73">
        <w:rPr>
          <w:rFonts w:ascii="Arial" w:hAnsi="Arial" w:cs="Arial"/>
          <w:i/>
        </w:rPr>
        <w:t xml:space="preserve">explains how IETF BRSKI protocol for </w:t>
      </w:r>
      <w:r w:rsidR="00DE79BD">
        <w:rPr>
          <w:rFonts w:ascii="Arial" w:hAnsi="Arial" w:cs="Arial"/>
          <w:i/>
        </w:rPr>
        <w:t xml:space="preserve">remote </w:t>
      </w:r>
      <w:r w:rsidR="002C5C73">
        <w:rPr>
          <w:rFonts w:ascii="Arial" w:hAnsi="Arial" w:cs="Arial"/>
          <w:i/>
        </w:rPr>
        <w:t xml:space="preserve">provisioning </w:t>
      </w:r>
      <w:r w:rsidR="00ED5A8C">
        <w:rPr>
          <w:rFonts w:ascii="Arial" w:hAnsi="Arial" w:cs="Arial"/>
          <w:i/>
        </w:rPr>
        <w:t xml:space="preserve">of </w:t>
      </w:r>
      <w:r w:rsidR="002C5C73">
        <w:rPr>
          <w:rFonts w:ascii="Arial" w:hAnsi="Arial" w:cs="Arial"/>
          <w:i/>
        </w:rPr>
        <w:t xml:space="preserve">unconfigured devices can be used on top of 5G SNPN User Plane connectivity, </w:t>
      </w:r>
      <w:r w:rsidR="00DE79BD">
        <w:rPr>
          <w:rFonts w:ascii="Arial" w:hAnsi="Arial" w:cs="Arial"/>
          <w:i/>
        </w:rPr>
        <w:t xml:space="preserve">and how ON-SNPN </w:t>
      </w:r>
      <w:r w:rsidR="00DE79BD" w:rsidRPr="000812F3">
        <w:rPr>
          <w:rFonts w:ascii="Arial" w:hAnsi="Arial" w:cs="Arial"/>
          <w:i/>
        </w:rPr>
        <w:t xml:space="preserve">should </w:t>
      </w:r>
      <w:r w:rsidR="00ED5A8C" w:rsidRPr="000812F3">
        <w:rPr>
          <w:rFonts w:ascii="Arial" w:hAnsi="Arial" w:cs="Arial"/>
          <w:i/>
        </w:rPr>
        <w:t>en</w:t>
      </w:r>
      <w:r w:rsidR="00DE79BD" w:rsidRPr="000812F3">
        <w:rPr>
          <w:rFonts w:ascii="Arial" w:hAnsi="Arial" w:cs="Arial"/>
          <w:i/>
        </w:rPr>
        <w:t>able BSRKI capable device</w:t>
      </w:r>
      <w:r w:rsidR="00ED5A8C" w:rsidRPr="000812F3">
        <w:rPr>
          <w:rFonts w:ascii="Arial" w:hAnsi="Arial" w:cs="Arial"/>
          <w:i/>
        </w:rPr>
        <w:t>s</w:t>
      </w:r>
      <w:r w:rsidR="00DE79BD" w:rsidRPr="000812F3">
        <w:rPr>
          <w:rFonts w:ascii="Arial" w:hAnsi="Arial" w:cs="Arial"/>
          <w:i/>
        </w:rPr>
        <w:t xml:space="preserve"> in initial discovery steps.</w:t>
      </w:r>
      <w:r w:rsidR="000C3C5D" w:rsidRPr="000812F3">
        <w:rPr>
          <w:rFonts w:ascii="Arial" w:hAnsi="Arial" w:cs="Arial"/>
          <w:i/>
        </w:rPr>
        <w:t xml:space="preserve"> </w:t>
      </w:r>
      <w:r w:rsidR="00ED5A8C" w:rsidRPr="000812F3">
        <w:rPr>
          <w:rFonts w:ascii="Arial" w:hAnsi="Arial" w:cs="Arial"/>
          <w:i/>
        </w:rPr>
        <w:t>An accompanying CR can be found in S2-210</w:t>
      </w:r>
      <w:r w:rsidR="000812F3" w:rsidRPr="000812F3">
        <w:rPr>
          <w:rFonts w:ascii="Arial" w:hAnsi="Arial" w:cs="Arial"/>
          <w:i/>
        </w:rPr>
        <w:t>2250 (CR 2711)</w:t>
      </w:r>
      <w:r w:rsidR="00ED5A8C" w:rsidRPr="000812F3">
        <w:rPr>
          <w:rFonts w:ascii="Arial" w:hAnsi="Arial" w:cs="Arial"/>
          <w:i/>
        </w:rPr>
        <w:t>.</w:t>
      </w:r>
    </w:p>
    <w:p w14:paraId="13A63EB7" w14:textId="69E58F64" w:rsidR="00AD728B" w:rsidRPr="0099367F" w:rsidRDefault="00AD728B" w:rsidP="00AD728B">
      <w:pPr>
        <w:pStyle w:val="Heading1"/>
        <w:rPr>
          <w:rFonts w:cs="Arial"/>
          <w:b/>
          <w:sz w:val="22"/>
        </w:rPr>
      </w:pPr>
      <w:r>
        <w:t xml:space="preserve">1 </w:t>
      </w:r>
      <w:r w:rsidR="002C5C73">
        <w:t>Introduction</w:t>
      </w:r>
    </w:p>
    <w:p w14:paraId="56C57364" w14:textId="0D76A084" w:rsidR="007F0A8D" w:rsidRDefault="004419BF" w:rsidP="002C5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lang w:eastAsia="ja-JP"/>
        </w:rPr>
      </w:pPr>
      <w:r w:rsidRPr="007F0A8D">
        <w:rPr>
          <w:color w:val="000000"/>
          <w:lang w:eastAsia="en-GB"/>
        </w:rPr>
        <w:t xml:space="preserve">UE onboarding for SNPN enables the UE to get network connectivity to an </w:t>
      </w:r>
      <w:r w:rsidR="007F0A8D">
        <w:rPr>
          <w:color w:val="000000"/>
          <w:lang w:eastAsia="en-GB"/>
        </w:rPr>
        <w:t>O</w:t>
      </w:r>
      <w:r w:rsidRPr="007F0A8D">
        <w:rPr>
          <w:color w:val="000000"/>
          <w:lang w:eastAsia="en-GB"/>
        </w:rPr>
        <w:t>nboarding SNPN</w:t>
      </w:r>
      <w:r w:rsidR="007F0A8D">
        <w:rPr>
          <w:color w:val="000000"/>
          <w:lang w:eastAsia="en-GB"/>
        </w:rPr>
        <w:t xml:space="preserve"> (ON-SNPN)</w:t>
      </w:r>
      <w:r w:rsidRPr="007F0A8D">
        <w:rPr>
          <w:color w:val="000000"/>
          <w:lang w:eastAsia="en-GB"/>
        </w:rPr>
        <w:t xml:space="preserve"> so that it can be provisioned with necessary subscription credentials and configuration</w:t>
      </w:r>
      <w:r w:rsidR="00ED5A8C">
        <w:rPr>
          <w:color w:val="000000"/>
          <w:lang w:eastAsia="en-GB"/>
        </w:rPr>
        <w:t xml:space="preserve"> data</w:t>
      </w:r>
      <w:r w:rsidR="007F0A8D" w:rsidRPr="007F0A8D">
        <w:rPr>
          <w:color w:val="000000"/>
          <w:lang w:eastAsia="en-GB"/>
        </w:rPr>
        <w:t>.</w:t>
      </w:r>
      <w:r w:rsidRPr="007F0A8D">
        <w:rPr>
          <w:color w:val="000000"/>
          <w:lang w:eastAsia="en-GB"/>
        </w:rPr>
        <w:t xml:space="preserve"> </w:t>
      </w:r>
      <w:r w:rsidR="007F0A8D">
        <w:rPr>
          <w:color w:val="000000"/>
          <w:lang w:eastAsia="en-GB"/>
        </w:rPr>
        <w:t xml:space="preserve">User Plane based onboarding connectivity </w:t>
      </w:r>
      <w:r w:rsidR="00ED5A8C">
        <w:rPr>
          <w:color w:val="000000"/>
          <w:lang w:eastAsia="en-GB"/>
        </w:rPr>
        <w:t>enables</w:t>
      </w:r>
      <w:r w:rsidR="007F0A8D">
        <w:rPr>
          <w:color w:val="000000"/>
          <w:lang w:eastAsia="en-GB"/>
        </w:rPr>
        <w:t xml:space="preserve"> the UE to communicate with a Provisioning Server</w:t>
      </w:r>
      <w:r w:rsidR="00BC6C6A">
        <w:rPr>
          <w:color w:val="000000"/>
          <w:lang w:eastAsia="en-GB"/>
        </w:rPr>
        <w:t xml:space="preserve"> (PVS)</w:t>
      </w:r>
      <w:r w:rsidR="007F0A8D">
        <w:rPr>
          <w:color w:val="000000"/>
          <w:lang w:eastAsia="en-GB"/>
        </w:rPr>
        <w:t xml:space="preserve"> but the actual provisioning protocols are out of scope of </w:t>
      </w:r>
      <w:r w:rsidR="00ED5A8C">
        <w:rPr>
          <w:color w:val="000000"/>
          <w:lang w:eastAsia="en-GB"/>
        </w:rPr>
        <w:t>3GPP</w:t>
      </w:r>
      <w:r w:rsidR="007F0A8D">
        <w:rPr>
          <w:color w:val="000000"/>
          <w:lang w:eastAsia="en-GB"/>
        </w:rPr>
        <w:t>.</w:t>
      </w:r>
    </w:p>
    <w:p w14:paraId="385A4381" w14:textId="77777777" w:rsidR="007F0A8D" w:rsidRDefault="007F0A8D" w:rsidP="002C5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lang w:eastAsia="ja-JP"/>
        </w:rPr>
      </w:pPr>
    </w:p>
    <w:p w14:paraId="2BDD5BF5" w14:textId="0262A5D1" w:rsidR="00BC6C6A" w:rsidRDefault="007F0A8D" w:rsidP="002C5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r>
        <w:rPr>
          <w:lang w:eastAsia="ja-JP"/>
        </w:rPr>
        <w:t xml:space="preserve">One of the emerging </w:t>
      </w:r>
      <w:r w:rsidR="002034FD">
        <w:rPr>
          <w:lang w:eastAsia="ja-JP"/>
        </w:rPr>
        <w:t xml:space="preserve">UP </w:t>
      </w:r>
      <w:r>
        <w:rPr>
          <w:lang w:eastAsia="ja-JP"/>
        </w:rPr>
        <w:t xml:space="preserve">provisioning protocols is the IETF developed </w:t>
      </w:r>
      <w:r w:rsidR="002C5C73" w:rsidRPr="002C5C73">
        <w:rPr>
          <w:color w:val="000000"/>
          <w:lang w:eastAsia="en-GB"/>
        </w:rPr>
        <w:t>Bootstrapping Remote Secure Key Infrastructure (BRSKI) protocol</w:t>
      </w:r>
      <w:r w:rsidR="00EE1CA6">
        <w:rPr>
          <w:color w:val="000000"/>
          <w:lang w:eastAsia="en-GB"/>
        </w:rPr>
        <w:t xml:space="preserve"> [1]</w:t>
      </w:r>
      <w:r>
        <w:rPr>
          <w:color w:val="000000"/>
          <w:lang w:eastAsia="en-GB"/>
        </w:rPr>
        <w:t>. BRSKI is an IP based protocol meant for</w:t>
      </w:r>
      <w:r w:rsidR="00DE79BD">
        <w:rPr>
          <w:color w:val="000000"/>
          <w:lang w:eastAsia="en-GB"/>
        </w:rPr>
        <w:t xml:space="preserve"> </w:t>
      </w:r>
      <w:r w:rsidR="002C5C73" w:rsidRPr="002C5C73">
        <w:rPr>
          <w:color w:val="000000"/>
          <w:lang w:eastAsia="en-GB"/>
        </w:rPr>
        <w:t>secure zero-touch (automated) bootstrap of</w:t>
      </w:r>
      <w:r w:rsidR="00DE79BD">
        <w:rPr>
          <w:color w:val="000000"/>
          <w:lang w:eastAsia="en-GB"/>
        </w:rPr>
        <w:t xml:space="preserve"> </w:t>
      </w:r>
      <w:r w:rsidR="002C5C73" w:rsidRPr="002C5C73">
        <w:rPr>
          <w:color w:val="000000"/>
          <w:lang w:eastAsia="en-GB"/>
        </w:rPr>
        <w:t xml:space="preserve">new unconfigured devices </w:t>
      </w:r>
      <w:r w:rsidR="00DE79BD">
        <w:rPr>
          <w:color w:val="000000"/>
          <w:lang w:eastAsia="en-GB"/>
        </w:rPr>
        <w:t>which</w:t>
      </w:r>
      <w:r>
        <w:rPr>
          <w:color w:val="000000"/>
          <w:lang w:eastAsia="en-GB"/>
        </w:rPr>
        <w:t xml:space="preserve"> initially only need to contain manufacturer credentials, or in 3GPP terms, default credentials</w:t>
      </w:r>
      <w:r w:rsidR="002C5C73" w:rsidRPr="002C5C73">
        <w:rPr>
          <w:color w:val="000000"/>
          <w:lang w:eastAsia="en-GB"/>
        </w:rPr>
        <w:t>.</w:t>
      </w:r>
      <w:r>
        <w:rPr>
          <w:color w:val="000000"/>
          <w:lang w:eastAsia="en-GB"/>
        </w:rPr>
        <w:t xml:space="preserve"> BRSKI can be used to provision </w:t>
      </w:r>
      <w:r w:rsidR="002034FD">
        <w:rPr>
          <w:color w:val="000000"/>
          <w:lang w:eastAsia="en-GB"/>
        </w:rPr>
        <w:t xml:space="preserve">device </w:t>
      </w:r>
      <w:r>
        <w:rPr>
          <w:color w:val="000000"/>
          <w:lang w:eastAsia="en-GB"/>
        </w:rPr>
        <w:t>owner’s credentials to the device. Owner in this context would be the Subscription Owning SNPN (SO-SNPN).</w:t>
      </w:r>
    </w:p>
    <w:p w14:paraId="2F27E861" w14:textId="77777777" w:rsidR="00BC6C6A" w:rsidRDefault="00BC6C6A" w:rsidP="002C5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p>
    <w:p w14:paraId="0FDE085D" w14:textId="57207A4C" w:rsidR="00BC6C6A" w:rsidRDefault="002034FD" w:rsidP="002C5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r>
        <w:rPr>
          <w:color w:val="000000"/>
          <w:lang w:eastAsia="en-GB"/>
        </w:rPr>
        <w:t xml:space="preserve">A </w:t>
      </w:r>
      <w:r w:rsidR="00BC6C6A">
        <w:rPr>
          <w:color w:val="000000"/>
          <w:lang w:eastAsia="en-GB"/>
        </w:rPr>
        <w:t>BRSKI capable UE requires a small set of enablers from the onboarding network it uses. The main enabler is the ability to communicate with its provisioning server, in BRSKI terms called the registrar, either directly or via a special proxy. However, before being able to communicate with the regist</w:t>
      </w:r>
      <w:r w:rsidR="00EE1CA6">
        <w:rPr>
          <w:color w:val="000000"/>
          <w:lang w:eastAsia="en-GB"/>
        </w:rPr>
        <w:t>r</w:t>
      </w:r>
      <w:r w:rsidR="00BC6C6A">
        <w:rPr>
          <w:color w:val="000000"/>
          <w:lang w:eastAsia="en-GB"/>
        </w:rPr>
        <w:t xml:space="preserve">ar, the BRSKI UE first needs to discover the registrar or the proxy. </w:t>
      </w:r>
    </w:p>
    <w:p w14:paraId="39824322" w14:textId="77777777" w:rsidR="00BC6C6A" w:rsidRDefault="00BC6C6A" w:rsidP="002C5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p>
    <w:p w14:paraId="13D4B6DA" w14:textId="73EE1F25" w:rsidR="009456D2" w:rsidRDefault="00BC6C6A" w:rsidP="0094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r>
        <w:rPr>
          <w:color w:val="000000"/>
          <w:lang w:eastAsia="en-GB"/>
        </w:rPr>
        <w:t xml:space="preserve">One approach is that the BRSKI UE is preconfigured with the registrar </w:t>
      </w:r>
      <w:r w:rsidR="00B05DDB">
        <w:rPr>
          <w:color w:val="000000"/>
          <w:lang w:eastAsia="en-GB"/>
        </w:rPr>
        <w:t>FQDN(or IP address</w:t>
      </w:r>
      <w:r>
        <w:rPr>
          <w:color w:val="000000"/>
          <w:lang w:eastAsia="en-GB"/>
        </w:rPr>
        <w:t xml:space="preserve"> in which case automated discovery is not necessary. For automated registrar discovery, BRSKI </w:t>
      </w:r>
      <w:r w:rsidR="009456D2">
        <w:rPr>
          <w:color w:val="000000"/>
          <w:lang w:eastAsia="en-GB"/>
        </w:rPr>
        <w:t>is able to support DNS Service Discovery (DNS-SD) using service names "_brski-registrar._tcp.local." or "_brski-proxy._tcp.local."</w:t>
      </w:r>
      <w:r w:rsidR="00EE1CA6">
        <w:rPr>
          <w:color w:val="000000"/>
          <w:lang w:eastAsia="en-GB"/>
        </w:rPr>
        <w:t>.</w:t>
      </w:r>
      <w:r w:rsidR="009456D2">
        <w:rPr>
          <w:color w:val="000000"/>
          <w:lang w:eastAsia="en-GB"/>
        </w:rPr>
        <w:t xml:space="preserve"> DNS-SD can happen on top of multicast DNS (mDNS), or if the BRSKI UE is provided with the name of the owner’s domain (e.g., “example.com”), the service discovery can be done with normal unicast DNS using that domain (e.g., “_brski_registrar._tcp.example.com”)</w:t>
      </w:r>
      <w:r w:rsidR="00EE1CA6">
        <w:rPr>
          <w:color w:val="000000"/>
          <w:lang w:eastAsia="en-GB"/>
        </w:rPr>
        <w:t xml:space="preserve"> [2]</w:t>
      </w:r>
      <w:r w:rsidR="002034FD">
        <w:rPr>
          <w:color w:val="000000"/>
          <w:lang w:eastAsia="en-GB"/>
        </w:rPr>
        <w:t>.</w:t>
      </w:r>
    </w:p>
    <w:p w14:paraId="24E45A53" w14:textId="63438780" w:rsidR="009456D2" w:rsidRDefault="009456D2" w:rsidP="0094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p>
    <w:p w14:paraId="30B22B05" w14:textId="21A9BA79" w:rsidR="009456D2" w:rsidRDefault="009456D2" w:rsidP="0094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r>
        <w:rPr>
          <w:color w:val="000000"/>
          <w:lang w:eastAsia="en-GB"/>
        </w:rPr>
        <w:t>To support a BRSKI capable UE in its registrar (P</w:t>
      </w:r>
      <w:r w:rsidR="002034FD">
        <w:rPr>
          <w:color w:val="000000"/>
          <w:lang w:eastAsia="en-GB"/>
        </w:rPr>
        <w:t>VS</w:t>
      </w:r>
      <w:r>
        <w:rPr>
          <w:color w:val="000000"/>
          <w:lang w:eastAsia="en-GB"/>
        </w:rPr>
        <w:t>) discovery</w:t>
      </w:r>
      <w:r w:rsidR="002034FD">
        <w:rPr>
          <w:color w:val="000000"/>
          <w:lang w:eastAsia="en-GB"/>
        </w:rPr>
        <w:t xml:space="preserve"> process</w:t>
      </w:r>
      <w:r>
        <w:rPr>
          <w:color w:val="000000"/>
          <w:lang w:eastAsia="en-GB"/>
        </w:rPr>
        <w:t>, depending on the different deployment options, the ON-SNPN should be able to provide a</w:t>
      </w:r>
      <w:r w:rsidR="00B05DDB">
        <w:rPr>
          <w:color w:val="000000"/>
          <w:lang w:eastAsia="en-GB"/>
        </w:rPr>
        <w:t>t least one</w:t>
      </w:r>
      <w:r>
        <w:rPr>
          <w:color w:val="000000"/>
          <w:lang w:eastAsia="en-GB"/>
        </w:rPr>
        <w:t xml:space="preserve"> of the following pieces of information during UE’s onboarding registration</w:t>
      </w:r>
      <w:r w:rsidR="00B05DDB">
        <w:rPr>
          <w:color w:val="000000"/>
          <w:lang w:eastAsia="en-GB"/>
        </w:rPr>
        <w:t xml:space="preserve"> or onboarding PDU session establishment</w:t>
      </w:r>
      <w:r w:rsidR="002034FD">
        <w:rPr>
          <w:color w:val="000000"/>
          <w:lang w:eastAsia="en-GB"/>
        </w:rPr>
        <w:t xml:space="preserve"> to the UE</w:t>
      </w:r>
      <w:r w:rsidR="00B05DDB">
        <w:rPr>
          <w:color w:val="000000"/>
          <w:lang w:eastAsia="en-GB"/>
        </w:rPr>
        <w:t>:</w:t>
      </w:r>
    </w:p>
    <w:p w14:paraId="294A4C33" w14:textId="66D4A232" w:rsidR="00B05DDB" w:rsidRDefault="00B05DDB" w:rsidP="0094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p>
    <w:p w14:paraId="065F35D4" w14:textId="68CAEA35" w:rsidR="00B05DDB" w:rsidRDefault="00B05DDB" w:rsidP="00B05DDB">
      <w:pPr>
        <w:pStyle w:val="ListParagraph"/>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r>
        <w:rPr>
          <w:color w:val="000000"/>
          <w:lang w:eastAsia="en-GB"/>
        </w:rPr>
        <w:t xml:space="preserve">IP address or FQDN of the </w:t>
      </w:r>
      <w:r w:rsidR="002034FD">
        <w:rPr>
          <w:color w:val="000000"/>
          <w:lang w:eastAsia="en-GB"/>
        </w:rPr>
        <w:t>registrar.</w:t>
      </w:r>
    </w:p>
    <w:p w14:paraId="4D21C61C" w14:textId="69539583" w:rsidR="00B05DDB" w:rsidRPr="00B05DDB" w:rsidRDefault="00B05DDB" w:rsidP="00B05DDB">
      <w:pPr>
        <w:pStyle w:val="ListParagraph"/>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r>
        <w:rPr>
          <w:color w:val="000000"/>
          <w:lang w:eastAsia="en-GB"/>
        </w:rPr>
        <w:t>Registrar’s domain to be used for DNS Service Discovery</w:t>
      </w:r>
      <w:r w:rsidR="002034FD">
        <w:rPr>
          <w:color w:val="000000"/>
          <w:lang w:eastAsia="en-GB"/>
        </w:rPr>
        <w:t>.</w:t>
      </w:r>
    </w:p>
    <w:p w14:paraId="302A4D98" w14:textId="62778C67" w:rsidR="002C5C73" w:rsidRPr="002C5C73" w:rsidRDefault="009456D2" w:rsidP="0094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lang w:eastAsia="ja-JP"/>
        </w:rPr>
      </w:pPr>
      <w:r>
        <w:rPr>
          <w:color w:val="000000"/>
          <w:lang w:eastAsia="en-GB"/>
        </w:rPr>
        <w:t xml:space="preserve"> </w:t>
      </w:r>
    </w:p>
    <w:p w14:paraId="2F18D747" w14:textId="3D8D23F0" w:rsidR="00AD728B" w:rsidRDefault="00B05DDB" w:rsidP="00B0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r w:rsidRPr="00B05DDB">
        <w:rPr>
          <w:color w:val="000000"/>
          <w:lang w:eastAsia="en-GB"/>
        </w:rPr>
        <w:t>If</w:t>
      </w:r>
      <w:r>
        <w:rPr>
          <w:color w:val="000000"/>
          <w:lang w:eastAsia="en-GB"/>
        </w:rPr>
        <w:t xml:space="preserve"> ON-SNPN does not provide either of these and the UE is not preconfigured with th</w:t>
      </w:r>
      <w:r w:rsidR="002034FD">
        <w:rPr>
          <w:color w:val="000000"/>
          <w:lang w:eastAsia="en-GB"/>
        </w:rPr>
        <w:t>is</w:t>
      </w:r>
      <w:r>
        <w:rPr>
          <w:color w:val="000000"/>
          <w:lang w:eastAsia="en-GB"/>
        </w:rPr>
        <w:t xml:space="preserve"> information, the ON-SNPN and the onboarding PDU session should support multicast DNS, i.e. delivery of IP multicast packets to a well-known IP multicast address </w:t>
      </w:r>
      <w:r w:rsidR="002034FD">
        <w:rPr>
          <w:color w:val="000000"/>
          <w:lang w:eastAsia="en-GB"/>
        </w:rPr>
        <w:t>sent from</w:t>
      </w:r>
      <w:r>
        <w:rPr>
          <w:color w:val="000000"/>
          <w:lang w:eastAsia="en-GB"/>
        </w:rPr>
        <w:t xml:space="preserve"> the UE </w:t>
      </w:r>
      <w:r w:rsidR="002034FD">
        <w:rPr>
          <w:color w:val="000000"/>
          <w:lang w:eastAsia="en-GB"/>
        </w:rPr>
        <w:t>to</w:t>
      </w:r>
      <w:r>
        <w:rPr>
          <w:color w:val="000000"/>
          <w:lang w:eastAsia="en-GB"/>
        </w:rPr>
        <w:t xml:space="preserve"> the local network. In this scenario it is assumed that a BRSKI registrar or proxy is deployed within the local network.</w:t>
      </w:r>
    </w:p>
    <w:p w14:paraId="42A4A824" w14:textId="77777777" w:rsidR="00B05DDB" w:rsidRPr="00B05DDB" w:rsidRDefault="00B05DDB" w:rsidP="00B0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p>
    <w:p w14:paraId="6707884C" w14:textId="77777777" w:rsidR="00AD728B" w:rsidRDefault="00AD728B" w:rsidP="00AD728B">
      <w:pPr>
        <w:pStyle w:val="Heading1"/>
      </w:pPr>
      <w:r>
        <w:lastRenderedPageBreak/>
        <w:t>2 Proposal</w:t>
      </w:r>
    </w:p>
    <w:p w14:paraId="5925E8B1" w14:textId="380F0ACB" w:rsidR="00120671" w:rsidRDefault="00AD728B" w:rsidP="00B0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bookmarkStart w:id="9" w:name="_Hlk513714389"/>
      <w:r w:rsidRPr="00B05DDB">
        <w:rPr>
          <w:color w:val="000000"/>
          <w:lang w:eastAsia="en-GB"/>
        </w:rPr>
        <w:t xml:space="preserve">It is proposed </w:t>
      </w:r>
      <w:r w:rsidR="00B05DDB" w:rsidRPr="00B05DDB">
        <w:rPr>
          <w:color w:val="000000"/>
          <w:lang w:eastAsia="en-GB"/>
        </w:rPr>
        <w:t>that</w:t>
      </w:r>
      <w:bookmarkEnd w:id="1"/>
      <w:bookmarkEnd w:id="2"/>
      <w:bookmarkEnd w:id="3"/>
      <w:bookmarkEnd w:id="4"/>
      <w:bookmarkEnd w:id="5"/>
      <w:bookmarkEnd w:id="6"/>
      <w:bookmarkEnd w:id="7"/>
      <w:bookmarkEnd w:id="9"/>
      <w:r w:rsidR="00B05DDB">
        <w:rPr>
          <w:color w:val="000000"/>
          <w:lang w:eastAsia="en-GB"/>
        </w:rPr>
        <w:t xml:space="preserve"> registrar discovery of the IETF BRSKI capable UE is supported </w:t>
      </w:r>
      <w:r w:rsidR="00EE1CA6">
        <w:rPr>
          <w:color w:val="000000"/>
          <w:lang w:eastAsia="en-GB"/>
        </w:rPr>
        <w:t>by</w:t>
      </w:r>
      <w:r w:rsidR="00B05DDB">
        <w:rPr>
          <w:color w:val="000000"/>
          <w:lang w:eastAsia="en-GB"/>
        </w:rPr>
        <w:t xml:space="preserve"> the ON-SNPN </w:t>
      </w:r>
      <w:r w:rsidR="00EE1CA6">
        <w:rPr>
          <w:color w:val="000000"/>
          <w:lang w:eastAsia="en-GB"/>
        </w:rPr>
        <w:t>through</w:t>
      </w:r>
      <w:r w:rsidR="00B05DDB">
        <w:rPr>
          <w:color w:val="000000"/>
          <w:lang w:eastAsia="en-GB"/>
        </w:rPr>
        <w:t xml:space="preserve"> generic methods of providing PVS address information to the UE</w:t>
      </w:r>
      <w:r w:rsidR="00494789">
        <w:rPr>
          <w:color w:val="000000"/>
          <w:lang w:eastAsia="en-GB"/>
        </w:rPr>
        <w:t xml:space="preserve"> during onboarding PDU session establishment</w:t>
      </w:r>
      <w:r w:rsidR="00B05DDB">
        <w:rPr>
          <w:color w:val="000000"/>
          <w:lang w:eastAsia="en-GB"/>
        </w:rPr>
        <w:t xml:space="preserve">. </w:t>
      </w:r>
      <w:r w:rsidR="00583055">
        <w:rPr>
          <w:color w:val="000000"/>
          <w:lang w:eastAsia="en-GB"/>
        </w:rPr>
        <w:t>For that purpose, it is proposed that two distinct types of information can be provided</w:t>
      </w:r>
      <w:r w:rsidR="00EE1CA6">
        <w:rPr>
          <w:color w:val="000000"/>
          <w:lang w:eastAsia="en-GB"/>
        </w:rPr>
        <w:t xml:space="preserve"> by</w:t>
      </w:r>
      <w:r w:rsidR="00494789">
        <w:rPr>
          <w:color w:val="000000"/>
          <w:lang w:eastAsia="en-GB"/>
        </w:rPr>
        <w:t xml:space="preserve"> or via</w:t>
      </w:r>
      <w:r w:rsidR="00EE1CA6">
        <w:rPr>
          <w:color w:val="000000"/>
          <w:lang w:eastAsia="en-GB"/>
        </w:rPr>
        <w:t xml:space="preserve"> the ON-SNPN to the UE</w:t>
      </w:r>
      <w:r w:rsidR="00583055">
        <w:rPr>
          <w:color w:val="000000"/>
          <w:lang w:eastAsia="en-GB"/>
        </w:rPr>
        <w:t>:</w:t>
      </w:r>
    </w:p>
    <w:p w14:paraId="7EE5B65C" w14:textId="4AB6D7A6" w:rsidR="00583055" w:rsidRDefault="00583055" w:rsidP="00B0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p>
    <w:p w14:paraId="637BEA59" w14:textId="0025C698" w:rsidR="00583055" w:rsidRDefault="00583055" w:rsidP="00583055">
      <w:pPr>
        <w:pStyle w:val="ListParagraph"/>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r>
        <w:rPr>
          <w:color w:val="000000"/>
          <w:lang w:eastAsia="en-GB"/>
        </w:rPr>
        <w:t>IP address or FQDN of the PVS</w:t>
      </w:r>
      <w:r w:rsidR="002034FD">
        <w:rPr>
          <w:color w:val="000000"/>
          <w:lang w:eastAsia="en-GB"/>
        </w:rPr>
        <w:t>:</w:t>
      </w:r>
      <w:r>
        <w:rPr>
          <w:color w:val="000000"/>
          <w:lang w:eastAsia="en-GB"/>
        </w:rPr>
        <w:t xml:space="preserve"> </w:t>
      </w:r>
      <w:r w:rsidR="002034FD">
        <w:rPr>
          <w:color w:val="000000"/>
          <w:lang w:eastAsia="en-GB"/>
        </w:rPr>
        <w:t>a</w:t>
      </w:r>
      <w:r>
        <w:rPr>
          <w:color w:val="000000"/>
          <w:lang w:eastAsia="en-GB"/>
        </w:rPr>
        <w:t xml:space="preserve"> BRSKI capable UE would treat this as direct IP address or FQDN </w:t>
      </w:r>
      <w:r w:rsidR="00EE1CA6">
        <w:rPr>
          <w:color w:val="000000"/>
          <w:lang w:eastAsia="en-GB"/>
        </w:rPr>
        <w:t>f</w:t>
      </w:r>
      <w:r>
        <w:rPr>
          <w:color w:val="000000"/>
          <w:lang w:eastAsia="en-GB"/>
        </w:rPr>
        <w:t>or the BRSKI registrar</w:t>
      </w:r>
      <w:r w:rsidR="00EE1CA6">
        <w:rPr>
          <w:color w:val="000000"/>
          <w:lang w:eastAsia="en-GB"/>
        </w:rPr>
        <w:t>.</w:t>
      </w:r>
    </w:p>
    <w:p w14:paraId="1E6D0D64" w14:textId="5C613E34" w:rsidR="00EE1CA6" w:rsidRDefault="00583055" w:rsidP="00EE1CA6">
      <w:pPr>
        <w:pStyle w:val="ListParagraph"/>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r>
        <w:rPr>
          <w:color w:val="000000"/>
          <w:lang w:eastAsia="en-GB"/>
        </w:rPr>
        <w:t>Domain</w:t>
      </w:r>
      <w:r w:rsidR="002034FD">
        <w:rPr>
          <w:color w:val="000000"/>
          <w:lang w:eastAsia="en-GB"/>
        </w:rPr>
        <w:t>:</w:t>
      </w:r>
      <w:r>
        <w:rPr>
          <w:color w:val="000000"/>
          <w:lang w:eastAsia="en-GB"/>
        </w:rPr>
        <w:t xml:space="preserve"> </w:t>
      </w:r>
      <w:r w:rsidR="002034FD">
        <w:rPr>
          <w:color w:val="000000"/>
          <w:lang w:eastAsia="en-GB"/>
        </w:rPr>
        <w:t>a</w:t>
      </w:r>
      <w:r>
        <w:rPr>
          <w:color w:val="000000"/>
          <w:lang w:eastAsia="en-GB"/>
        </w:rPr>
        <w:t xml:space="preserve"> BRSKI capable UE would treat this </w:t>
      </w:r>
      <w:r w:rsidR="00EE1CA6">
        <w:rPr>
          <w:color w:val="000000"/>
          <w:lang w:eastAsia="en-GB"/>
        </w:rPr>
        <w:t xml:space="preserve">as </w:t>
      </w:r>
      <w:r>
        <w:rPr>
          <w:color w:val="000000"/>
          <w:lang w:eastAsia="en-GB"/>
        </w:rPr>
        <w:t>BRSKI registrar’s domain and use it for DNS Service Discovery to discover the registrar’s IP address or FQDN.</w:t>
      </w:r>
    </w:p>
    <w:p w14:paraId="5810BDC6" w14:textId="3F06057B" w:rsidR="009623F0" w:rsidRDefault="009623F0" w:rsidP="00962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p>
    <w:p w14:paraId="650D037E" w14:textId="5D19BB97" w:rsidR="009623F0" w:rsidRPr="009623F0" w:rsidRDefault="009623F0" w:rsidP="00962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r>
        <w:rPr>
          <w:color w:val="000000"/>
          <w:lang w:eastAsia="en-GB"/>
        </w:rPr>
        <w:t>Th</w:t>
      </w:r>
      <w:r w:rsidR="002034FD">
        <w:rPr>
          <w:color w:val="000000"/>
          <w:lang w:eastAsia="en-GB"/>
        </w:rPr>
        <w:t>ese two options are</w:t>
      </w:r>
      <w:r>
        <w:rPr>
          <w:color w:val="000000"/>
          <w:lang w:eastAsia="en-GB"/>
        </w:rPr>
        <w:t xml:space="preserve"> </w:t>
      </w:r>
      <w:r w:rsidR="002034FD" w:rsidRPr="000812F3">
        <w:rPr>
          <w:color w:val="000000"/>
          <w:lang w:eastAsia="en-GB"/>
        </w:rPr>
        <w:t>described</w:t>
      </w:r>
      <w:r w:rsidRPr="000812F3">
        <w:rPr>
          <w:color w:val="000000"/>
          <w:lang w:eastAsia="en-GB"/>
        </w:rPr>
        <w:t xml:space="preserve"> in </w:t>
      </w:r>
      <w:r w:rsidR="002034FD" w:rsidRPr="000812F3">
        <w:rPr>
          <w:color w:val="000000"/>
          <w:lang w:eastAsia="en-GB"/>
        </w:rPr>
        <w:t>S2-210</w:t>
      </w:r>
      <w:r w:rsidR="000812F3" w:rsidRPr="000812F3">
        <w:rPr>
          <w:color w:val="000000"/>
          <w:lang w:eastAsia="en-GB"/>
        </w:rPr>
        <w:t>2250 (CR 2711)</w:t>
      </w:r>
      <w:r w:rsidR="002034FD" w:rsidRPr="000812F3">
        <w:rPr>
          <w:color w:val="000000"/>
          <w:lang w:eastAsia="en-GB"/>
        </w:rPr>
        <w:t>. T</w:t>
      </w:r>
      <w:r w:rsidRPr="000812F3">
        <w:rPr>
          <w:color w:val="000000"/>
          <w:lang w:eastAsia="en-GB"/>
        </w:rPr>
        <w:t>he same information can be used in principle by any IP based provisioning protocol that use similar concepts</w:t>
      </w:r>
      <w:r>
        <w:rPr>
          <w:color w:val="000000"/>
          <w:lang w:eastAsia="en-GB"/>
        </w:rPr>
        <w:t xml:space="preserve"> such as </w:t>
      </w:r>
      <w:r w:rsidR="002034FD">
        <w:rPr>
          <w:color w:val="000000"/>
          <w:lang w:eastAsia="en-GB"/>
        </w:rPr>
        <w:t>well-known</w:t>
      </w:r>
      <w:r>
        <w:rPr>
          <w:color w:val="000000"/>
          <w:lang w:eastAsia="en-GB"/>
        </w:rPr>
        <w:t xml:space="preserve"> server address</w:t>
      </w:r>
      <w:r w:rsidR="002034FD">
        <w:rPr>
          <w:color w:val="000000"/>
          <w:lang w:eastAsia="en-GB"/>
        </w:rPr>
        <w:t>es</w:t>
      </w:r>
      <w:r>
        <w:rPr>
          <w:color w:val="000000"/>
          <w:lang w:eastAsia="en-GB"/>
        </w:rPr>
        <w:t xml:space="preserve"> or domain</w:t>
      </w:r>
      <w:r w:rsidR="002034FD">
        <w:rPr>
          <w:color w:val="000000"/>
          <w:lang w:eastAsia="en-GB"/>
        </w:rPr>
        <w:t>s</w:t>
      </w:r>
      <w:r>
        <w:rPr>
          <w:color w:val="000000"/>
          <w:lang w:eastAsia="en-GB"/>
        </w:rPr>
        <w:t xml:space="preserve"> for DNS based service discovery.</w:t>
      </w:r>
    </w:p>
    <w:p w14:paraId="65ACB87A" w14:textId="2CECBF75" w:rsidR="00EE1CA6" w:rsidRDefault="00EE1CA6" w:rsidP="00EE1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p>
    <w:p w14:paraId="36EE228F" w14:textId="77777777" w:rsidR="00494789" w:rsidRDefault="00494789" w:rsidP="00EE1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36"/>
          <w:szCs w:val="36"/>
          <w:lang w:eastAsia="en-GB"/>
        </w:rPr>
      </w:pPr>
    </w:p>
    <w:p w14:paraId="1179C426" w14:textId="214032EB" w:rsidR="00EE1CA6" w:rsidRDefault="00EE1CA6" w:rsidP="00EE1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36"/>
          <w:szCs w:val="36"/>
          <w:lang w:eastAsia="en-GB"/>
        </w:rPr>
      </w:pPr>
      <w:r w:rsidRPr="009623F0">
        <w:rPr>
          <w:rFonts w:ascii="Arial" w:hAnsi="Arial" w:cs="Arial"/>
          <w:color w:val="000000"/>
          <w:sz w:val="36"/>
          <w:szCs w:val="36"/>
          <w:lang w:eastAsia="en-GB"/>
        </w:rPr>
        <w:t>References</w:t>
      </w:r>
    </w:p>
    <w:p w14:paraId="784A47C1" w14:textId="77777777" w:rsidR="009623F0" w:rsidRPr="009623F0" w:rsidRDefault="009623F0" w:rsidP="00EE1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36"/>
          <w:szCs w:val="36"/>
          <w:lang w:eastAsia="en-GB"/>
        </w:rPr>
      </w:pPr>
    </w:p>
    <w:p w14:paraId="14933325" w14:textId="7A3FA541" w:rsidR="00EE1CA6" w:rsidRDefault="00EE1CA6" w:rsidP="00EE1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r>
        <w:rPr>
          <w:color w:val="000000"/>
          <w:lang w:eastAsia="en-GB"/>
        </w:rPr>
        <w:t xml:space="preserve">[1] IETF BRSKI protocol, Internet draft, </w:t>
      </w:r>
      <w:r w:rsidRPr="00EE1CA6">
        <w:rPr>
          <w:color w:val="000000"/>
          <w:lang w:eastAsia="en-GB"/>
        </w:rPr>
        <w:t>https://tools.ietf.org/html/draft-ietf-anima-bootstrapping-keyinfra-45</w:t>
      </w:r>
      <w:r>
        <w:rPr>
          <w:color w:val="000000"/>
          <w:lang w:eastAsia="en-GB"/>
        </w:rPr>
        <w:t xml:space="preserve"> </w:t>
      </w:r>
    </w:p>
    <w:p w14:paraId="73D0182A" w14:textId="23D290C5" w:rsidR="00EE1CA6" w:rsidRDefault="00EE1CA6" w:rsidP="00EE1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r>
        <w:rPr>
          <w:color w:val="000000"/>
          <w:lang w:eastAsia="en-GB"/>
        </w:rPr>
        <w:t xml:space="preserve">[2] IETF BRSKI protocol, Internet draft, Appendix B, </w:t>
      </w:r>
      <w:r w:rsidRPr="00EE1CA6">
        <w:rPr>
          <w:color w:val="000000"/>
          <w:lang w:eastAsia="en-GB"/>
        </w:rPr>
        <w:t>https://tools.ietf.org/html/draft-ietf-anima-bootstrapping-keyinfra-45#appendix-B</w:t>
      </w:r>
    </w:p>
    <w:p w14:paraId="72CB8E3D" w14:textId="77777777" w:rsidR="00EE1CA6" w:rsidRPr="009623F0" w:rsidRDefault="00EE1CA6" w:rsidP="00962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eastAsia="en-GB"/>
        </w:rPr>
      </w:pPr>
    </w:p>
    <w:sectPr w:rsidR="00EE1CA6" w:rsidRPr="009623F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CF50E" w14:textId="77777777" w:rsidR="00207067" w:rsidRDefault="00207067">
      <w:r>
        <w:separator/>
      </w:r>
    </w:p>
  </w:endnote>
  <w:endnote w:type="continuationSeparator" w:id="0">
    <w:p w14:paraId="347145B2" w14:textId="77777777" w:rsidR="00207067" w:rsidRDefault="0020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6CBEF" w14:textId="77777777" w:rsidR="00B05DDB" w:rsidRDefault="00B05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B05DDB" w:rsidRDefault="00B05DD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E29BA" w14:textId="77777777" w:rsidR="00B05DDB" w:rsidRDefault="00B05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0301B" w14:textId="77777777" w:rsidR="00207067" w:rsidRDefault="00207067">
      <w:r>
        <w:separator/>
      </w:r>
    </w:p>
  </w:footnote>
  <w:footnote w:type="continuationSeparator" w:id="0">
    <w:p w14:paraId="6C1D4998" w14:textId="77777777" w:rsidR="00207067" w:rsidRDefault="00207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88393" w14:textId="77777777" w:rsidR="00B05DDB" w:rsidRDefault="00B05D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3FCD5AEF" w:rsidR="00B05DDB" w:rsidRDefault="00B05D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6D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B05DDB" w:rsidRDefault="00B05D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233ED2B2" w:rsidR="00B05DDB" w:rsidRDefault="00B05D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6D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B05DDB" w:rsidRDefault="00B05D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FD6B" w14:textId="77777777" w:rsidR="00B05DDB" w:rsidRDefault="00B05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503734"/>
    <w:multiLevelType w:val="hybridMultilevel"/>
    <w:tmpl w:val="F5D220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1DB56A9"/>
    <w:multiLevelType w:val="hybridMultilevel"/>
    <w:tmpl w:val="D2849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3"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C5E24FF"/>
    <w:multiLevelType w:val="hybridMultilevel"/>
    <w:tmpl w:val="B600C7AA"/>
    <w:lvl w:ilvl="0" w:tplc="8EC0E70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7"/>
  </w:num>
  <w:num w:numId="5">
    <w:abstractNumId w:val="27"/>
  </w:num>
  <w:num w:numId="6">
    <w:abstractNumId w:val="45"/>
  </w:num>
  <w:num w:numId="7">
    <w:abstractNumId w:val="43"/>
  </w:num>
  <w:num w:numId="8">
    <w:abstractNumId w:val="50"/>
  </w:num>
  <w:num w:numId="9">
    <w:abstractNumId w:val="39"/>
  </w:num>
  <w:num w:numId="10">
    <w:abstractNumId w:val="29"/>
  </w:num>
  <w:num w:numId="11">
    <w:abstractNumId w:val="46"/>
  </w:num>
  <w:num w:numId="12">
    <w:abstractNumId w:val="46"/>
  </w:num>
  <w:num w:numId="13">
    <w:abstractNumId w:val="41"/>
  </w:num>
  <w:num w:numId="14">
    <w:abstractNumId w:val="51"/>
  </w:num>
  <w:num w:numId="15">
    <w:abstractNumId w:val="32"/>
  </w:num>
  <w:num w:numId="16">
    <w:abstractNumId w:val="36"/>
  </w:num>
  <w:num w:numId="17">
    <w:abstractNumId w:val="33"/>
  </w:num>
  <w:num w:numId="18">
    <w:abstractNumId w:val="16"/>
  </w:num>
  <w:num w:numId="19">
    <w:abstractNumId w:val="26"/>
  </w:num>
  <w:num w:numId="20">
    <w:abstractNumId w:val="18"/>
  </w:num>
  <w:num w:numId="21">
    <w:abstractNumId w:val="21"/>
  </w:num>
  <w:num w:numId="22">
    <w:abstractNumId w:val="17"/>
  </w:num>
  <w:num w:numId="23">
    <w:abstractNumId w:val="44"/>
  </w:num>
  <w:num w:numId="24">
    <w:abstractNumId w:val="37"/>
  </w:num>
  <w:num w:numId="25">
    <w:abstractNumId w:val="28"/>
  </w:num>
  <w:num w:numId="26">
    <w:abstractNumId w:val="38"/>
  </w:num>
  <w:num w:numId="27">
    <w:abstractNumId w:val="15"/>
  </w:num>
  <w:num w:numId="28">
    <w:abstractNumId w:val="53"/>
  </w:num>
  <w:num w:numId="29">
    <w:abstractNumId w:val="20"/>
  </w:num>
  <w:num w:numId="30">
    <w:abstractNumId w:val="25"/>
  </w:num>
  <w:num w:numId="31">
    <w:abstractNumId w:val="52"/>
  </w:num>
  <w:num w:numId="32">
    <w:abstractNumId w:val="19"/>
  </w:num>
  <w:num w:numId="33">
    <w:abstractNumId w:val="48"/>
  </w:num>
  <w:num w:numId="34">
    <w:abstractNumId w:val="23"/>
  </w:num>
  <w:num w:numId="35">
    <w:abstractNumId w:val="54"/>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2"/>
  </w:num>
  <w:num w:numId="47">
    <w:abstractNumId w:val="13"/>
  </w:num>
  <w:num w:numId="48">
    <w:abstractNumId w:val="22"/>
  </w:num>
  <w:num w:numId="49">
    <w:abstractNumId w:val="14"/>
  </w:num>
  <w:num w:numId="50">
    <w:abstractNumId w:val="40"/>
  </w:num>
  <w:num w:numId="51">
    <w:abstractNumId w:val="34"/>
  </w:num>
  <w:num w:numId="52">
    <w:abstractNumId w:val="11"/>
  </w:num>
  <w:num w:numId="53">
    <w:abstractNumId w:val="35"/>
  </w:num>
  <w:num w:numId="54">
    <w:abstractNumId w:val="55"/>
  </w:num>
  <w:num w:numId="55">
    <w:abstractNumId w:val="31"/>
  </w:num>
  <w:num w:numId="56">
    <w:abstractNumId w:val="49"/>
  </w:num>
  <w:num w:numId="57">
    <w:abstractNumId w:val="30"/>
  </w:num>
  <w:num w:numId="58">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12F3"/>
    <w:rsid w:val="000830BE"/>
    <w:rsid w:val="000916A4"/>
    <w:rsid w:val="00094AE7"/>
    <w:rsid w:val="00096D4F"/>
    <w:rsid w:val="000A334B"/>
    <w:rsid w:val="000B06C3"/>
    <w:rsid w:val="000B5EFB"/>
    <w:rsid w:val="000B6796"/>
    <w:rsid w:val="000C15CE"/>
    <w:rsid w:val="000C17D1"/>
    <w:rsid w:val="000C3C5D"/>
    <w:rsid w:val="000C47C3"/>
    <w:rsid w:val="000D3277"/>
    <w:rsid w:val="000D42CB"/>
    <w:rsid w:val="000D58AB"/>
    <w:rsid w:val="000D6D95"/>
    <w:rsid w:val="000F7130"/>
    <w:rsid w:val="00103D08"/>
    <w:rsid w:val="00105B1C"/>
    <w:rsid w:val="001116D5"/>
    <w:rsid w:val="00112C34"/>
    <w:rsid w:val="00114804"/>
    <w:rsid w:val="00116588"/>
    <w:rsid w:val="0011666D"/>
    <w:rsid w:val="00120671"/>
    <w:rsid w:val="00133525"/>
    <w:rsid w:val="00136FE1"/>
    <w:rsid w:val="001410EA"/>
    <w:rsid w:val="00143450"/>
    <w:rsid w:val="001763C0"/>
    <w:rsid w:val="0017712F"/>
    <w:rsid w:val="001779CC"/>
    <w:rsid w:val="0018144D"/>
    <w:rsid w:val="001861E1"/>
    <w:rsid w:val="00193C54"/>
    <w:rsid w:val="00197962"/>
    <w:rsid w:val="001A4C42"/>
    <w:rsid w:val="001A7420"/>
    <w:rsid w:val="001B6637"/>
    <w:rsid w:val="001C07AF"/>
    <w:rsid w:val="001C21C3"/>
    <w:rsid w:val="001C28A2"/>
    <w:rsid w:val="001C4A90"/>
    <w:rsid w:val="001D02C2"/>
    <w:rsid w:val="001D2975"/>
    <w:rsid w:val="001E0FF3"/>
    <w:rsid w:val="001F0C1D"/>
    <w:rsid w:val="001F1132"/>
    <w:rsid w:val="001F168B"/>
    <w:rsid w:val="001F6216"/>
    <w:rsid w:val="002034FD"/>
    <w:rsid w:val="00204485"/>
    <w:rsid w:val="00207067"/>
    <w:rsid w:val="00224195"/>
    <w:rsid w:val="00226FF7"/>
    <w:rsid w:val="00230F6E"/>
    <w:rsid w:val="00233843"/>
    <w:rsid w:val="002347A2"/>
    <w:rsid w:val="002351F8"/>
    <w:rsid w:val="00241711"/>
    <w:rsid w:val="00260498"/>
    <w:rsid w:val="00263403"/>
    <w:rsid w:val="002675F0"/>
    <w:rsid w:val="002746F2"/>
    <w:rsid w:val="002A75FE"/>
    <w:rsid w:val="002B293E"/>
    <w:rsid w:val="002B3AC3"/>
    <w:rsid w:val="002B6339"/>
    <w:rsid w:val="002C1487"/>
    <w:rsid w:val="002C5C73"/>
    <w:rsid w:val="002D39FB"/>
    <w:rsid w:val="002D3A2E"/>
    <w:rsid w:val="002E00EE"/>
    <w:rsid w:val="00311430"/>
    <w:rsid w:val="0031260C"/>
    <w:rsid w:val="003140C2"/>
    <w:rsid w:val="003154B0"/>
    <w:rsid w:val="00316ED9"/>
    <w:rsid w:val="003172DC"/>
    <w:rsid w:val="00337D7D"/>
    <w:rsid w:val="00341E75"/>
    <w:rsid w:val="003446B5"/>
    <w:rsid w:val="00346240"/>
    <w:rsid w:val="00347196"/>
    <w:rsid w:val="00347342"/>
    <w:rsid w:val="00350F52"/>
    <w:rsid w:val="0035462D"/>
    <w:rsid w:val="00361938"/>
    <w:rsid w:val="003675D7"/>
    <w:rsid w:val="00372FC7"/>
    <w:rsid w:val="00374ED5"/>
    <w:rsid w:val="003765B8"/>
    <w:rsid w:val="003916B9"/>
    <w:rsid w:val="00394CBC"/>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419BF"/>
    <w:rsid w:val="0045366A"/>
    <w:rsid w:val="00453A92"/>
    <w:rsid w:val="00465515"/>
    <w:rsid w:val="00474966"/>
    <w:rsid w:val="00482EA7"/>
    <w:rsid w:val="00494789"/>
    <w:rsid w:val="00496AA9"/>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1228E"/>
    <w:rsid w:val="0053388B"/>
    <w:rsid w:val="00535773"/>
    <w:rsid w:val="00537CAE"/>
    <w:rsid w:val="00543912"/>
    <w:rsid w:val="00543E6C"/>
    <w:rsid w:val="00551577"/>
    <w:rsid w:val="005566B7"/>
    <w:rsid w:val="00565087"/>
    <w:rsid w:val="00583055"/>
    <w:rsid w:val="005962F3"/>
    <w:rsid w:val="00597B11"/>
    <w:rsid w:val="005D2E01"/>
    <w:rsid w:val="005D4FD0"/>
    <w:rsid w:val="005D7096"/>
    <w:rsid w:val="005D7526"/>
    <w:rsid w:val="005E4BB2"/>
    <w:rsid w:val="005E5F66"/>
    <w:rsid w:val="005F473A"/>
    <w:rsid w:val="005F5BDF"/>
    <w:rsid w:val="005F7690"/>
    <w:rsid w:val="00602AEA"/>
    <w:rsid w:val="00605BA3"/>
    <w:rsid w:val="00614FDF"/>
    <w:rsid w:val="00627546"/>
    <w:rsid w:val="006346FB"/>
    <w:rsid w:val="0063543D"/>
    <w:rsid w:val="00636F89"/>
    <w:rsid w:val="006415A0"/>
    <w:rsid w:val="006451F7"/>
    <w:rsid w:val="00647114"/>
    <w:rsid w:val="0065571C"/>
    <w:rsid w:val="0066441B"/>
    <w:rsid w:val="006730DD"/>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4DA4"/>
    <w:rsid w:val="0078007D"/>
    <w:rsid w:val="00780213"/>
    <w:rsid w:val="00780B89"/>
    <w:rsid w:val="00780C94"/>
    <w:rsid w:val="00781F0F"/>
    <w:rsid w:val="007843CB"/>
    <w:rsid w:val="00784D78"/>
    <w:rsid w:val="007860AB"/>
    <w:rsid w:val="00796CDA"/>
    <w:rsid w:val="007A2BE2"/>
    <w:rsid w:val="007A58CE"/>
    <w:rsid w:val="007A5CD5"/>
    <w:rsid w:val="007B600E"/>
    <w:rsid w:val="007C59E0"/>
    <w:rsid w:val="007C62FA"/>
    <w:rsid w:val="007E4BF7"/>
    <w:rsid w:val="007E7AAA"/>
    <w:rsid w:val="007F0A8D"/>
    <w:rsid w:val="007F0F4A"/>
    <w:rsid w:val="007F2871"/>
    <w:rsid w:val="008011FE"/>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76D0F"/>
    <w:rsid w:val="008819E5"/>
    <w:rsid w:val="008868E8"/>
    <w:rsid w:val="00894171"/>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456D2"/>
    <w:rsid w:val="009623F0"/>
    <w:rsid w:val="00962E08"/>
    <w:rsid w:val="00965076"/>
    <w:rsid w:val="0097516A"/>
    <w:rsid w:val="009752E0"/>
    <w:rsid w:val="0097551E"/>
    <w:rsid w:val="009A47E7"/>
    <w:rsid w:val="009A65A8"/>
    <w:rsid w:val="009B2F95"/>
    <w:rsid w:val="009C50E8"/>
    <w:rsid w:val="009C69CC"/>
    <w:rsid w:val="009C74B0"/>
    <w:rsid w:val="009D164C"/>
    <w:rsid w:val="009D44FE"/>
    <w:rsid w:val="009E134D"/>
    <w:rsid w:val="009E4E3E"/>
    <w:rsid w:val="009F0085"/>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1F7F"/>
    <w:rsid w:val="00A73129"/>
    <w:rsid w:val="00A76FE9"/>
    <w:rsid w:val="00A80B90"/>
    <w:rsid w:val="00A82346"/>
    <w:rsid w:val="00A84E6A"/>
    <w:rsid w:val="00A900C9"/>
    <w:rsid w:val="00A901E9"/>
    <w:rsid w:val="00A9097E"/>
    <w:rsid w:val="00A92025"/>
    <w:rsid w:val="00A92BA1"/>
    <w:rsid w:val="00A94B88"/>
    <w:rsid w:val="00AA024D"/>
    <w:rsid w:val="00AA7309"/>
    <w:rsid w:val="00AB5D1D"/>
    <w:rsid w:val="00AC2EC8"/>
    <w:rsid w:val="00AC6BC6"/>
    <w:rsid w:val="00AD41E0"/>
    <w:rsid w:val="00AD611A"/>
    <w:rsid w:val="00AD71D9"/>
    <w:rsid w:val="00AD728B"/>
    <w:rsid w:val="00AD78D2"/>
    <w:rsid w:val="00AE3496"/>
    <w:rsid w:val="00AE65E2"/>
    <w:rsid w:val="00AF42E4"/>
    <w:rsid w:val="00AF6665"/>
    <w:rsid w:val="00B02987"/>
    <w:rsid w:val="00B052C5"/>
    <w:rsid w:val="00B05DDB"/>
    <w:rsid w:val="00B07659"/>
    <w:rsid w:val="00B10146"/>
    <w:rsid w:val="00B13EB9"/>
    <w:rsid w:val="00B15449"/>
    <w:rsid w:val="00B30888"/>
    <w:rsid w:val="00B3486D"/>
    <w:rsid w:val="00B37555"/>
    <w:rsid w:val="00B4318E"/>
    <w:rsid w:val="00B43881"/>
    <w:rsid w:val="00B65E62"/>
    <w:rsid w:val="00B7213D"/>
    <w:rsid w:val="00B837C1"/>
    <w:rsid w:val="00B93086"/>
    <w:rsid w:val="00B9644C"/>
    <w:rsid w:val="00BA19ED"/>
    <w:rsid w:val="00BA3DF8"/>
    <w:rsid w:val="00BA4B8D"/>
    <w:rsid w:val="00BB1BE3"/>
    <w:rsid w:val="00BC0F7D"/>
    <w:rsid w:val="00BC6C6A"/>
    <w:rsid w:val="00BC76BB"/>
    <w:rsid w:val="00BD18AB"/>
    <w:rsid w:val="00BD2527"/>
    <w:rsid w:val="00BD6461"/>
    <w:rsid w:val="00BD7D31"/>
    <w:rsid w:val="00BE3255"/>
    <w:rsid w:val="00BE43F1"/>
    <w:rsid w:val="00BE6B4F"/>
    <w:rsid w:val="00BF128E"/>
    <w:rsid w:val="00BF33F0"/>
    <w:rsid w:val="00BF45F7"/>
    <w:rsid w:val="00BF50E0"/>
    <w:rsid w:val="00C07047"/>
    <w:rsid w:val="00C074DD"/>
    <w:rsid w:val="00C1496A"/>
    <w:rsid w:val="00C20180"/>
    <w:rsid w:val="00C207AF"/>
    <w:rsid w:val="00C33079"/>
    <w:rsid w:val="00C35FE5"/>
    <w:rsid w:val="00C41AAF"/>
    <w:rsid w:val="00C45231"/>
    <w:rsid w:val="00C474CA"/>
    <w:rsid w:val="00C5420C"/>
    <w:rsid w:val="00C55D88"/>
    <w:rsid w:val="00C61CD6"/>
    <w:rsid w:val="00C621FB"/>
    <w:rsid w:val="00C66437"/>
    <w:rsid w:val="00C67D42"/>
    <w:rsid w:val="00C71A1C"/>
    <w:rsid w:val="00C72833"/>
    <w:rsid w:val="00C77AAD"/>
    <w:rsid w:val="00C80F1D"/>
    <w:rsid w:val="00C85C39"/>
    <w:rsid w:val="00C8669C"/>
    <w:rsid w:val="00C87B9A"/>
    <w:rsid w:val="00C93F40"/>
    <w:rsid w:val="00CA3D0C"/>
    <w:rsid w:val="00CC5A50"/>
    <w:rsid w:val="00CF1BB3"/>
    <w:rsid w:val="00CF284D"/>
    <w:rsid w:val="00CF2C6D"/>
    <w:rsid w:val="00CF4994"/>
    <w:rsid w:val="00D0373F"/>
    <w:rsid w:val="00D13ABA"/>
    <w:rsid w:val="00D37609"/>
    <w:rsid w:val="00D43449"/>
    <w:rsid w:val="00D47932"/>
    <w:rsid w:val="00D51918"/>
    <w:rsid w:val="00D51AE0"/>
    <w:rsid w:val="00D54ECD"/>
    <w:rsid w:val="00D56EC7"/>
    <w:rsid w:val="00D57972"/>
    <w:rsid w:val="00D61CEA"/>
    <w:rsid w:val="00D64A45"/>
    <w:rsid w:val="00D668E7"/>
    <w:rsid w:val="00D675A9"/>
    <w:rsid w:val="00D738D6"/>
    <w:rsid w:val="00D755EB"/>
    <w:rsid w:val="00D76048"/>
    <w:rsid w:val="00D76F43"/>
    <w:rsid w:val="00D85C6C"/>
    <w:rsid w:val="00D85DD5"/>
    <w:rsid w:val="00D87E00"/>
    <w:rsid w:val="00D9134D"/>
    <w:rsid w:val="00D94116"/>
    <w:rsid w:val="00DA7A03"/>
    <w:rsid w:val="00DB0A0F"/>
    <w:rsid w:val="00DB1818"/>
    <w:rsid w:val="00DC309B"/>
    <w:rsid w:val="00DC41B5"/>
    <w:rsid w:val="00DC4DA2"/>
    <w:rsid w:val="00DD4C17"/>
    <w:rsid w:val="00DD74A5"/>
    <w:rsid w:val="00DE2BA6"/>
    <w:rsid w:val="00DE79BD"/>
    <w:rsid w:val="00DF1660"/>
    <w:rsid w:val="00DF2B1F"/>
    <w:rsid w:val="00DF62CD"/>
    <w:rsid w:val="00DF63A9"/>
    <w:rsid w:val="00E010F8"/>
    <w:rsid w:val="00E05CEA"/>
    <w:rsid w:val="00E073F1"/>
    <w:rsid w:val="00E07659"/>
    <w:rsid w:val="00E14211"/>
    <w:rsid w:val="00E16509"/>
    <w:rsid w:val="00E20B6B"/>
    <w:rsid w:val="00E25758"/>
    <w:rsid w:val="00E31168"/>
    <w:rsid w:val="00E31A56"/>
    <w:rsid w:val="00E359C0"/>
    <w:rsid w:val="00E44582"/>
    <w:rsid w:val="00E53870"/>
    <w:rsid w:val="00E56A80"/>
    <w:rsid w:val="00E56FDC"/>
    <w:rsid w:val="00E70A2E"/>
    <w:rsid w:val="00E72E79"/>
    <w:rsid w:val="00E77645"/>
    <w:rsid w:val="00E92B69"/>
    <w:rsid w:val="00E94904"/>
    <w:rsid w:val="00EA15B0"/>
    <w:rsid w:val="00EA1C6A"/>
    <w:rsid w:val="00EA56DA"/>
    <w:rsid w:val="00EA5EA7"/>
    <w:rsid w:val="00EC10DA"/>
    <w:rsid w:val="00EC4A25"/>
    <w:rsid w:val="00ED2512"/>
    <w:rsid w:val="00ED2831"/>
    <w:rsid w:val="00ED3D1C"/>
    <w:rsid w:val="00ED4185"/>
    <w:rsid w:val="00ED5A8C"/>
    <w:rsid w:val="00EE1CA6"/>
    <w:rsid w:val="00EF1336"/>
    <w:rsid w:val="00F01260"/>
    <w:rsid w:val="00F024A4"/>
    <w:rsid w:val="00F025A2"/>
    <w:rsid w:val="00F04712"/>
    <w:rsid w:val="00F0529C"/>
    <w:rsid w:val="00F13360"/>
    <w:rsid w:val="00F22EC7"/>
    <w:rsid w:val="00F265F5"/>
    <w:rsid w:val="00F325C8"/>
    <w:rsid w:val="00F4277B"/>
    <w:rsid w:val="00F4560D"/>
    <w:rsid w:val="00F63FCD"/>
    <w:rsid w:val="00F653B8"/>
    <w:rsid w:val="00F6630B"/>
    <w:rsid w:val="00F9008D"/>
    <w:rsid w:val="00FA1266"/>
    <w:rsid w:val="00FA34F2"/>
    <w:rsid w:val="00FA4221"/>
    <w:rsid w:val="00FA7934"/>
    <w:rsid w:val="00FB26A1"/>
    <w:rsid w:val="00FC1192"/>
    <w:rsid w:val="00FD4B14"/>
    <w:rsid w:val="00FE7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aliases w:val="H2 Char,UNDERRUBRIK 1-2 Char,h2 Char,2nd level Char,õberschrift 2 Char,R2 Char,2 Char,H21 Char,E2 Char,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character" w:customStyle="1" w:styleId="B1Char1">
    <w:name w:val="B1 Char1"/>
    <w:locked/>
    <w:rsid w:val="00D94116"/>
    <w:rPr>
      <w:lang w:eastAsia="en-US"/>
    </w:rPr>
  </w:style>
  <w:style w:type="paragraph" w:styleId="HTMLPreformatted">
    <w:name w:val="HTML Preformatted"/>
    <w:basedOn w:val="Normal"/>
    <w:link w:val="HTMLPreformattedChar"/>
    <w:uiPriority w:val="99"/>
    <w:unhideWhenUsed/>
    <w:rsid w:val="002C5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2C5C73"/>
    <w:rPr>
      <w:rFonts w:ascii="Courier New" w:hAnsi="Courier New" w:cs="Courier New"/>
      <w:lang w:val="en-GB" w:eastAsia="en-GB"/>
    </w:rPr>
  </w:style>
  <w:style w:type="paragraph" w:styleId="ListParagraph">
    <w:name w:val="List Paragraph"/>
    <w:basedOn w:val="Normal"/>
    <w:uiPriority w:val="34"/>
    <w:qFormat/>
    <w:rsid w:val="009456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64696">
      <w:bodyDiv w:val="1"/>
      <w:marLeft w:val="0"/>
      <w:marRight w:val="0"/>
      <w:marTop w:val="0"/>
      <w:marBottom w:val="0"/>
      <w:divBdr>
        <w:top w:val="none" w:sz="0" w:space="0" w:color="auto"/>
        <w:left w:val="none" w:sz="0" w:space="0" w:color="auto"/>
        <w:bottom w:val="none" w:sz="0" w:space="0" w:color="auto"/>
        <w:right w:val="none" w:sz="0" w:space="0" w:color="auto"/>
      </w:divBdr>
    </w:div>
    <w:div w:id="88166576">
      <w:bodyDiv w:val="1"/>
      <w:marLeft w:val="0"/>
      <w:marRight w:val="0"/>
      <w:marTop w:val="0"/>
      <w:marBottom w:val="0"/>
      <w:divBdr>
        <w:top w:val="none" w:sz="0" w:space="0" w:color="auto"/>
        <w:left w:val="none" w:sz="0" w:space="0" w:color="auto"/>
        <w:bottom w:val="none" w:sz="0" w:space="0" w:color="auto"/>
        <w:right w:val="none" w:sz="0" w:space="0" w:color="auto"/>
      </w:divBdr>
    </w:div>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008606727">
      <w:bodyDiv w:val="1"/>
      <w:marLeft w:val="0"/>
      <w:marRight w:val="0"/>
      <w:marTop w:val="0"/>
      <w:marBottom w:val="0"/>
      <w:divBdr>
        <w:top w:val="none" w:sz="0" w:space="0" w:color="auto"/>
        <w:left w:val="none" w:sz="0" w:space="0" w:color="auto"/>
        <w:bottom w:val="none" w:sz="0" w:space="0" w:color="auto"/>
        <w:right w:val="none" w:sz="0" w:space="0" w:color="auto"/>
      </w:divBdr>
    </w:div>
    <w:div w:id="1009260194">
      <w:bodyDiv w:val="1"/>
      <w:marLeft w:val="0"/>
      <w:marRight w:val="0"/>
      <w:marTop w:val="0"/>
      <w:marBottom w:val="0"/>
      <w:divBdr>
        <w:top w:val="none" w:sz="0" w:space="0" w:color="auto"/>
        <w:left w:val="none" w:sz="0" w:space="0" w:color="auto"/>
        <w:bottom w:val="none" w:sz="0" w:space="0" w:color="auto"/>
        <w:right w:val="none" w:sz="0" w:space="0" w:color="auto"/>
      </w:divBdr>
    </w:div>
    <w:div w:id="1260917631">
      <w:bodyDiv w:val="1"/>
      <w:marLeft w:val="0"/>
      <w:marRight w:val="0"/>
      <w:marTop w:val="0"/>
      <w:marBottom w:val="0"/>
      <w:divBdr>
        <w:top w:val="none" w:sz="0" w:space="0" w:color="auto"/>
        <w:left w:val="none" w:sz="0" w:space="0" w:color="auto"/>
        <w:bottom w:val="none" w:sz="0" w:space="0" w:color="auto"/>
        <w:right w:val="none" w:sz="0" w:space="0" w:color="auto"/>
      </w:divBdr>
    </w:div>
    <w:div w:id="1642419400">
      <w:bodyDiv w:val="1"/>
      <w:marLeft w:val="0"/>
      <w:marRight w:val="0"/>
      <w:marTop w:val="0"/>
      <w:marBottom w:val="0"/>
      <w:divBdr>
        <w:top w:val="none" w:sz="0" w:space="0" w:color="auto"/>
        <w:left w:val="none" w:sz="0" w:space="0" w:color="auto"/>
        <w:bottom w:val="none" w:sz="0" w:space="0" w:color="auto"/>
        <w:right w:val="none" w:sz="0" w:space="0" w:color="auto"/>
      </w:divBdr>
    </w:div>
    <w:div w:id="1649895086">
      <w:bodyDiv w:val="1"/>
      <w:marLeft w:val="0"/>
      <w:marRight w:val="0"/>
      <w:marTop w:val="0"/>
      <w:marBottom w:val="0"/>
      <w:divBdr>
        <w:top w:val="none" w:sz="0" w:space="0" w:color="auto"/>
        <w:left w:val="none" w:sz="0" w:space="0" w:color="auto"/>
        <w:bottom w:val="none" w:sz="0" w:space="0" w:color="auto"/>
        <w:right w:val="none" w:sz="0" w:space="0" w:color="auto"/>
      </w:divBdr>
    </w:div>
    <w:div w:id="192552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5AIRPNAIUNRU-2028481721-4612</_dlc_DocId>
    <_dlc_DocIdUrl xmlns="71c5aaf6-e6ce-465b-b873-5148d2a4c105">
      <Url>https://nokia.sharepoint.com/sites/c5g/e2earch/_layouts/15/DocIdRedir.aspx?ID=5AIRPNAIUNRU-2028481721-4612</Url>
      <Description>5AIRPNAIUNRU-2028481721-4612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3.xml><?xml version="1.0" encoding="utf-8"?>
<ds:datastoreItem xmlns:ds="http://schemas.openxmlformats.org/officeDocument/2006/customXml" ds:itemID="{060BB9EB-15F3-4F86-9A4C-6A8A89363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E9FB0DD-8640-4FE3-90AD-A6EF53BEA247}">
  <ds:schemaRefs>
    <ds:schemaRef ds:uri="http://schemas.microsoft.com/sharepoint/events"/>
  </ds:schemaRefs>
</ds:datastoreItem>
</file>

<file path=customXml/itemProps6.xml><?xml version="1.0" encoding="utf-8"?>
<ds:datastoreItem xmlns:ds="http://schemas.openxmlformats.org/officeDocument/2006/customXml" ds:itemID="{DFD7D12D-644D-4F6E-A3EE-90C05EA65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600</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4372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Nokia-user1</cp:lastModifiedBy>
  <cp:revision>6</cp:revision>
  <cp:lastPrinted>2019-02-25T14:05:00Z</cp:lastPrinted>
  <dcterms:created xsi:type="dcterms:W3CDTF">2021-04-01T15:29:00Z</dcterms:created>
  <dcterms:modified xsi:type="dcterms:W3CDTF">2021-04-04T17:38:00Z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f6008579-e0cd-45e2-beff-759d0d061b29</vt:lpwstr>
  </property>
</Properties>
</file>